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120"/>
        <w:ind w:right="142" w:firstLine="70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Карта  заказа  терминала  защиты</w:t>
      </w:r>
      <w:r>
        <w:rPr>
          <w:rFonts w:ascii="Arial" w:hAnsi="Arial" w:cs="Arial"/>
          <w:b/>
          <w:bCs/>
          <w:color w:val="000000"/>
        </w:rPr>
        <w:t xml:space="preserve">,  автоматики,  управления  и  сигнализации  </w:t>
      </w:r>
      <w:r>
        <w:rPr>
          <w:rFonts w:ascii="Arial" w:hAnsi="Arial" w:cs="Arial"/>
          <w:b/>
        </w:rPr>
        <w:t>ввода  БЭ2502Б03ХХ</w:t>
      </w:r>
      <w:r>
        <w:rPr>
          <w:rStyle w:val="af3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</w:rPr>
        <w:t xml:space="preserve">  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_________________________________________________________________________________________________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3782" w:firstLine="259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4"/>
        <w:spacing w:after="0" w:line="312" w:lineRule="auto"/>
        <w:ind w:firstLine="567"/>
        <w:jc w:val="left"/>
        <w:outlineLvl w:val="0"/>
        <w:rPr>
          <w:rFonts w:cs="Arial"/>
          <w:bCs/>
          <w:sz w:val="10"/>
          <w:szCs w:val="20"/>
        </w:rPr>
      </w:pPr>
    </w:p>
    <w:p>
      <w:pPr>
        <w:pStyle w:val="a4"/>
        <w:spacing w:after="0" w:line="312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4"/>
        <w:spacing w:after="0" w:line="312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 xml:space="preserve">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4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 и необходимые дополнительные функции защит, ИО и автоматики</w:t>
      </w:r>
      <w:r>
        <w:rPr>
          <w:rFonts w:cs="Arial"/>
          <w:sz w:val="20"/>
          <w:szCs w:val="20"/>
        </w:rPr>
        <w:t>.</w:t>
      </w:r>
    </w:p>
    <w:p>
      <w:pPr>
        <w:pStyle w:val="ac"/>
        <w:spacing w:line="276" w:lineRule="auto"/>
        <w:ind w:firstLine="284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47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5"/>
        <w:gridCol w:w="1560"/>
        <w:gridCol w:w="1560"/>
        <w:gridCol w:w="1986"/>
        <w:gridCol w:w="420"/>
        <w:gridCol w:w="326"/>
        <w:gridCol w:w="326"/>
        <w:gridCol w:w="326"/>
        <w:gridCol w:w="326"/>
        <w:gridCol w:w="403"/>
        <w:gridCol w:w="426"/>
        <w:gridCol w:w="426"/>
        <w:gridCol w:w="568"/>
        <w:gridCol w:w="852"/>
        <w:gridCol w:w="849"/>
        <w:gridCol w:w="426"/>
        <w:gridCol w:w="426"/>
        <w:gridCol w:w="417"/>
      </w:tblGrid>
      <w:tr>
        <w:trPr>
          <w:cantSplit/>
          <w:trHeight w:hRule="exact" w:val="450"/>
        </w:trPr>
        <w:tc>
          <w:tcPr>
            <w:tcW w:w="10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Типоисполнение</w:t>
            </w:r>
            <w:proofErr w:type="spellEnd"/>
          </w:p>
          <w:p>
            <w:pPr>
              <w:pStyle w:val="ab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терминала</w:t>
            </w:r>
          </w:p>
        </w:tc>
        <w:tc>
          <w:tcPr>
            <w:tcW w:w="1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2202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защит, ИО и автоматики*</w:t>
            </w:r>
          </w:p>
        </w:tc>
      </w:tr>
      <w:tr>
        <w:trPr>
          <w:cantSplit/>
          <w:trHeight w:val="1924"/>
        </w:trPr>
        <w:tc>
          <w:tcPr>
            <w:tcW w:w="10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tabs>
                <w:tab w:val="left" w:pos="1177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номинальный переменный ток, 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 переменного тока, 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76" w:lineRule="auto"/>
              <w:ind w:right="-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оперативное напряжение постоянного тока, В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МТЗ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ЗДЗ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ЛЗШ</w:t>
            </w: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УРОВ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АУВ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АВР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ИО направления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мощности  МТЗ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ИО минимального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напряжения пуска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МТЗ по напряжению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ИО напряжения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обратной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последовательности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ЗМН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ЗОЗЗ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>
        <w:trPr>
          <w:cantSplit/>
          <w:trHeight w:val="312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Защита рабочего ввода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tabs>
                <w:tab w:val="left" w:pos="1177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76" w:lineRule="auto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312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БЭ2502Б0303-61Е1 УХЛ3.1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eastAsia="Arial Unicode MS" w:hAnsi="Arial Unicode MS" w:cs="Arial"/>
                <w:b/>
                <w:bCs/>
              </w:rPr>
              <w:t>✓</w:t>
            </w: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 Unicode MS" w:cs="Aria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 Unicode MS" w:cs="Aria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 Unicode MS" w:cs="Aria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 Unicode MS" w:cs="Aria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 Unicode MS" w:cs="Aria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 Unicode MS" w:cs="Aria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Arial Unicode MS" w:hAnsi="Arial Unicode MS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 w:hAnsi="Arial Unicode MS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 w:hAnsi="Arial Unicode MS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 w:hAnsi="Arial Unicode MS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 w:hAnsi="Arial Unicode MS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 w:hAnsi="Arial Unicode MS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 w:hAnsi="Arial Unicode MS"/>
                <w:b/>
                <w:bCs/>
                <w:sz w:val="20"/>
                <w:szCs w:val="20"/>
              </w:rPr>
              <w:t>✓</w:t>
            </w:r>
          </w:p>
        </w:tc>
      </w:tr>
      <w:tr>
        <w:trPr>
          <w:cantSplit/>
          <w:trHeight w:hRule="exact" w:val="312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БЭ2502Б0303-61Е2 УХЛ3.1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1073" w:type="pct"/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БЭ2502Б0303-0002 УХЛ3.1***</w:t>
            </w:r>
          </w:p>
        </w:tc>
        <w:tc>
          <w:tcPr>
            <w:tcW w:w="527" w:type="pct"/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05"/>
        </w:trPr>
        <w:tc>
          <w:tcPr>
            <w:tcW w:w="5000" w:type="pct"/>
            <w:gridSpan w:val="1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ИО – измерительный орган, МТЗ – максимальная токовая защита, ЗНР – защита от несимметричного режима, ЗДЗ – защита от дуговых замыканий, ЛЗШ – логическая защита шин, 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УРОВ – устройство резервирования отказа выключателя, АУВ – автоматика управления выключателем, АПВ – автоматическое повторное включение, АВР – автоматическое включение резерва, 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ЗМН– защита минимального напряжения, ЗОЗЗ – защита от однофазных замыканий на землю, </w:t>
            </w:r>
            <w:r>
              <w:rPr>
                <w:rFonts w:ascii="Arial" w:hAnsi="Arial" w:cs="Arial"/>
                <w:sz w:val="16"/>
                <w:szCs w:val="16"/>
              </w:rPr>
              <w:t>ВНР - восстановление нормального режима после АВР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Выбирается программным способом;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Типоисполнение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МЭК61850-9-2LE (с блоком приема SV).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2 – </w:t>
      </w:r>
      <w:r>
        <w:rPr>
          <w:rFonts w:cs="Arial"/>
          <w:sz w:val="20"/>
        </w:rPr>
        <w:t>требуемый</w:t>
      </w:r>
      <w:r>
        <w:rPr>
          <w:sz w:val="20"/>
        </w:rPr>
        <w:t xml:space="preserve"> номинальный ток</w:t>
      </w:r>
    </w:p>
    <w:p>
      <w:pPr>
        <w:pStyle w:val="ac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>
        <w:tc>
          <w:tcPr>
            <w:tcW w:w="3969" w:type="dxa"/>
          </w:tcPr>
          <w:p>
            <w:pPr>
              <w:pStyle w:val="ac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</w:tr>
      <w:tr>
        <w:tc>
          <w:tcPr>
            <w:tcW w:w="3969" w:type="dxa"/>
          </w:tcPr>
          <w:p>
            <w:pPr>
              <w:pStyle w:val="ac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r>
              <w:rPr>
                <w:rFonts w:cs="Arial"/>
                <w:sz w:val="18"/>
                <w:szCs w:val="18"/>
              </w:rPr>
              <w:t>номинальный переменный фазный ток, А</w:t>
            </w:r>
          </w:p>
        </w:tc>
      </w:tr>
      <w:tr>
        <w:trPr>
          <w:trHeight w:val="340"/>
        </w:trPr>
        <w:tc>
          <w:tcPr>
            <w:tcW w:w="3969" w:type="dxa"/>
            <w:vAlign w:val="center"/>
          </w:tcPr>
          <w:p>
            <w:pPr>
              <w:pStyle w:val="ab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>
        <w:trPr>
          <w:trHeight w:val="340"/>
        </w:trPr>
        <w:tc>
          <w:tcPr>
            <w:tcW w:w="3969" w:type="dxa"/>
            <w:vAlign w:val="center"/>
          </w:tcPr>
          <w:p>
            <w:pPr>
              <w:pStyle w:val="ab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  <w:r>
        <w:rPr>
          <w:rFonts w:cs="Arial"/>
          <w:bCs/>
          <w:sz w:val="20"/>
          <w:szCs w:val="20"/>
        </w:rPr>
        <w:lastRenderedPageBreak/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c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2"/>
        <w:tblW w:w="4885" w:type="pct"/>
        <w:tblLayout w:type="fixed"/>
        <w:tblLook w:val="04A0" w:firstRow="1" w:lastRow="0" w:firstColumn="1" w:lastColumn="0" w:noHBand="0" w:noVBand="1"/>
      </w:tblPr>
      <w:tblGrid>
        <w:gridCol w:w="959"/>
        <w:gridCol w:w="1561"/>
        <w:gridCol w:w="1702"/>
        <w:gridCol w:w="1986"/>
        <w:gridCol w:w="5240"/>
        <w:gridCol w:w="3828"/>
      </w:tblGrid>
      <w:tr>
        <w:tc>
          <w:tcPr>
            <w:tcW w:w="314" w:type="pct"/>
            <w:vMerge w:val="restart"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068" w:type="pct"/>
            <w:gridSpan w:val="2"/>
          </w:tcPr>
          <w:p>
            <w:pPr>
              <w:pStyle w:val="a4"/>
              <w:spacing w:after="0" w:line="240" w:lineRule="auto"/>
              <w:ind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структура сети по МЭК 61850-8-1</w:t>
            </w:r>
          </w:p>
        </w:tc>
        <w:tc>
          <w:tcPr>
            <w:tcW w:w="1715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интерфейса связи МЭК 61850-8-1*</w:t>
            </w:r>
          </w:p>
        </w:tc>
        <w:tc>
          <w:tcPr>
            <w:tcW w:w="1253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интерфейса связи </w:t>
            </w:r>
            <w:r>
              <w:rPr>
                <w:rFonts w:ascii="Arial" w:hAnsi="Arial" w:cs="Arial"/>
                <w:sz w:val="20"/>
                <w:szCs w:val="20"/>
              </w:rPr>
              <w:br/>
              <w:t>МЭК 61850-9-2*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</w:tr>
      <w:tr>
        <w:tc>
          <w:tcPr>
            <w:tcW w:w="314" w:type="pct"/>
            <w:vMerge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511" w:type="pct"/>
            <w:vAlign w:val="center"/>
          </w:tcPr>
          <w:p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каналов тока/ напряжения</w:t>
            </w:r>
          </w:p>
        </w:tc>
        <w:tc>
          <w:tcPr>
            <w:tcW w:w="557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дискретных входов/ </w:t>
            </w:r>
            <w:r>
              <w:rPr>
                <w:rFonts w:ascii="Arial" w:hAnsi="Arial" w:cs="Arial"/>
                <w:sz w:val="20"/>
                <w:szCs w:val="20"/>
              </w:rPr>
              <w:br/>
              <w:t>выходных реле</w:t>
            </w:r>
          </w:p>
        </w:tc>
        <w:tc>
          <w:tcPr>
            <w:tcW w:w="650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314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 6</w:t>
            </w: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24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Единая сеть </w:t>
            </w:r>
            <w:r>
              <w:rPr>
                <w:rFonts w:ascii="Arial" w:hAnsi="Arial" w:cs="Arial"/>
                <w:sz w:val="20"/>
                <w:szCs w:val="20"/>
              </w:rPr>
              <w:br/>
              <w:t>GOOSE и MMS</w:t>
            </w:r>
          </w:p>
        </w:tc>
        <w:tc>
          <w:tcPr>
            <w:tcW w:w="171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rPr>
          <w:trHeight w:val="565"/>
        </w:trPr>
        <w:tc>
          <w:tcPr>
            <w:tcW w:w="314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11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 16***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71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-2 электрический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-2 оптический + 2 электрический (GOOSE)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c>
          <w:tcPr>
            <w:tcW w:w="314" w:type="pct"/>
            <w:vMerge w:val="restar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11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7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16</w:t>
            </w:r>
          </w:p>
        </w:tc>
        <w:tc>
          <w:tcPr>
            <w:tcW w:w="650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71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</w:tc>
        <w:tc>
          <w:tcPr>
            <w:tcW w:w="1253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электрический</w:t>
            </w:r>
          </w:p>
        </w:tc>
      </w:tr>
      <w:tr>
        <w:tc>
          <w:tcPr>
            <w:tcW w:w="314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</w:tc>
        <w:tc>
          <w:tcPr>
            <w:tcW w:w="1253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оптический</w:t>
            </w:r>
          </w:p>
        </w:tc>
      </w:tr>
      <w:tr>
        <w:tc>
          <w:tcPr>
            <w:tcW w:w="314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</w:t>
            </w:r>
          </w:p>
        </w:tc>
        <w:tc>
          <w:tcPr>
            <w:tcW w:w="1253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электрический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SV</w:t>
            </w:r>
            <w:r>
              <w:rPr>
                <w:rFonts w:ascii="Arial" w:hAnsi="Arial" w:cs="Arial"/>
                <w:sz w:val="18"/>
                <w:szCs w:val="18"/>
              </w:rPr>
              <w:t xml:space="preserve"> + GOOSE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в портах передаются SV совместно с GOOSE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>
        <w:tc>
          <w:tcPr>
            <w:tcW w:w="314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253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оптический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SV</w:t>
            </w:r>
            <w:r>
              <w:rPr>
                <w:rFonts w:ascii="Arial" w:hAnsi="Arial" w:cs="Arial"/>
                <w:sz w:val="18"/>
                <w:szCs w:val="18"/>
              </w:rPr>
              <w:t xml:space="preserve"> + GOOSE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в портах передаются SV совместно с GOOSE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Тип интерфейса связи МЭК 61850: электрический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RJ</w:t>
            </w:r>
            <w:r>
              <w:rPr>
                <w:rFonts w:ascii="Arial" w:hAnsi="Arial" w:cs="Arial"/>
                <w:sz w:val="18"/>
                <w:szCs w:val="18"/>
              </w:rPr>
              <w:t xml:space="preserve">45; оптический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LC</w:t>
            </w:r>
            <w:r>
              <w:rPr>
                <w:rFonts w:ascii="Arial" w:hAnsi="Arial" w:cs="Arial"/>
                <w:sz w:val="18"/>
                <w:szCs w:val="18"/>
              </w:rPr>
              <w:t>-разъём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 По дополнительному требованию заказчика возможно изготовление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терминала с количеством дискретных входов/ выходных реле – 16/ 24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________________________________________________________________________________________________________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</w:t>
      </w:r>
    </w:p>
    <w:p>
      <w:pPr>
        <w:pStyle w:val="a4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4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4"/>
        <w:ind w:firstLine="7655"/>
      </w:pPr>
      <w:r>
        <w:rPr>
          <w:sz w:val="16"/>
        </w:rPr>
        <w:t>(Подпись)</w:t>
      </w:r>
    </w:p>
    <w:p>
      <w:pPr>
        <w:pStyle w:val="a4"/>
        <w:spacing w:before="60" w:after="0" w:line="276" w:lineRule="auto"/>
        <w:ind w:right="-510" w:firstLine="567"/>
        <w:outlineLvl w:val="0"/>
      </w:pPr>
    </w:p>
    <w:sectPr>
      <w:pgSz w:w="16838" w:h="11906" w:orient="landscape" w:code="9"/>
      <w:pgMar w:top="56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"/>
        <w:numPr>
          <w:ilvl w:val="0"/>
          <w:numId w:val="0"/>
        </w:numPr>
        <w:ind w:left="1080" w:hanging="1080"/>
        <w:rPr>
          <w:rFonts w:cs="Arial"/>
          <w:sz w:val="16"/>
          <w:szCs w:val="16"/>
        </w:rPr>
      </w:pPr>
      <w:r>
        <w:rPr>
          <w:rStyle w:val="af3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9E9D-E45C-4EFC-80B2-3C7F32F8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5">
    <w:name w:val="Основной текст Знак"/>
    <w:basedOn w:val="a1"/>
    <w:link w:val="a4"/>
    <w:rPr>
      <w:rFonts w:ascii="Arial" w:eastAsia="Times New Roman" w:hAnsi="Arial" w:cs="Times New Roman"/>
      <w:szCs w:val="24"/>
    </w:rPr>
  </w:style>
  <w:style w:type="paragraph" w:styleId="a6">
    <w:name w:val="footer"/>
    <w:basedOn w:val="a0"/>
    <w:link w:val="a7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7">
    <w:name w:val="Нижний колонтитул Знак"/>
    <w:basedOn w:val="a1"/>
    <w:link w:val="a6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0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1"/>
    <w:link w:val="3"/>
    <w:semiHidden/>
    <w:rPr>
      <w:rFonts w:ascii="Arial" w:eastAsia="Times New Roman" w:hAnsi="Arial" w:cs="Arial"/>
      <w:color w:val="000000"/>
      <w:szCs w:val="24"/>
    </w:rPr>
  </w:style>
  <w:style w:type="paragraph" w:styleId="a8">
    <w:name w:val="endnote text"/>
    <w:basedOn w:val="a0"/>
    <w:link w:val="a9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rPr>
      <w:rFonts w:ascii="Arial" w:eastAsia="Times New Roman" w:hAnsi="Arial" w:cs="Arial"/>
      <w:sz w:val="20"/>
      <w:szCs w:val="20"/>
    </w:rPr>
  </w:style>
  <w:style w:type="paragraph" w:styleId="a">
    <w:name w:val="footnote text"/>
    <w:basedOn w:val="a0"/>
    <w:link w:val="aa"/>
    <w:semiHidden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a">
    <w:name w:val="Текст сноски Знак"/>
    <w:basedOn w:val="a1"/>
    <w:link w:val="a"/>
    <w:semiHidden/>
    <w:rPr>
      <w:rFonts w:ascii="Arial" w:eastAsia="Times New Roman" w:hAnsi="Arial" w:cs="Courier New"/>
      <w:sz w:val="20"/>
      <w:szCs w:val="20"/>
    </w:rPr>
  </w:style>
  <w:style w:type="paragraph" w:customStyle="1" w:styleId="ab">
    <w:name w:val="Обычный без отступа"/>
    <w:basedOn w:val="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c">
    <w:name w:val="Таблица"/>
    <w:basedOn w:val="ad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d">
    <w:name w:val="Plain Text"/>
    <w:basedOn w:val="a0"/>
    <w:link w:val="ae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semiHidden/>
    <w:rPr>
      <w:rFonts w:ascii="Consolas" w:hAnsi="Consolas"/>
      <w:sz w:val="21"/>
      <w:szCs w:val="21"/>
    </w:rPr>
  </w:style>
  <w:style w:type="paragraph" w:styleId="af">
    <w:name w:val="Document Map"/>
    <w:basedOn w:val="a0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pPr>
      <w:ind w:left="720"/>
      <w:contextualSpacing/>
    </w:p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semiHidden/>
    <w:rPr>
      <w:bdr w:val="none" w:sz="0" w:space="0" w:color="auto"/>
      <w:vertAlign w:val="superscript"/>
    </w:rPr>
  </w:style>
  <w:style w:type="paragraph" w:styleId="af4">
    <w:name w:val="Normal Indent"/>
    <w:basedOn w:val="a0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Людмила Петровна</dc:creator>
  <cp:lastModifiedBy>Андреев Д. А.</cp:lastModifiedBy>
  <cp:revision>13</cp:revision>
  <dcterms:created xsi:type="dcterms:W3CDTF">2019-07-12T08:23:00Z</dcterms:created>
  <dcterms:modified xsi:type="dcterms:W3CDTF">2023-09-25T09:02:00Z</dcterms:modified>
</cp:coreProperties>
</file>